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D5" w:rsidRPr="00ED7E14" w:rsidRDefault="00AF3BD5" w:rsidP="00AF3BD5">
      <w:pPr>
        <w:pStyle w:val="Header"/>
        <w:tabs>
          <w:tab w:val="clear" w:pos="4419"/>
          <w:tab w:val="clear" w:pos="8838"/>
        </w:tabs>
        <w:jc w:val="both"/>
        <w:rPr>
          <w:szCs w:val="24"/>
        </w:rPr>
      </w:pPr>
      <w:r w:rsidRPr="00973E62">
        <w:rPr>
          <w:szCs w:val="24"/>
        </w:rPr>
        <w:t xml:space="preserve">5.2) Souza et al. (2011) desenvolveram um estudo de otimização termodinâmica de unidades de </w:t>
      </w:r>
      <w:proofErr w:type="spellStart"/>
      <w:r w:rsidRPr="00973E62">
        <w:rPr>
          <w:szCs w:val="24"/>
        </w:rPr>
        <w:t>craqueamento</w:t>
      </w:r>
      <w:proofErr w:type="spellEnd"/>
      <w:r w:rsidRPr="00973E62">
        <w:rPr>
          <w:szCs w:val="24"/>
        </w:rPr>
        <w:t xml:space="preserve"> catalítico em leito fluidizado (FCC). Para o cálculo da geração de entropia no interior do reator, foi necessário </w:t>
      </w:r>
      <w:r w:rsidRPr="00973E62">
        <w:t>dispor do calor específico a pressão constante das substâncias (</w:t>
      </w:r>
      <w:proofErr w:type="spellStart"/>
      <w:r w:rsidRPr="00973E62">
        <w:rPr>
          <w:i/>
        </w:rPr>
        <w:t>lumps</w:t>
      </w:r>
      <w:proofErr w:type="spellEnd"/>
      <w:r w:rsidRPr="00973E62">
        <w:t xml:space="preserve">) envolvidas nas reações químicas, </w:t>
      </w:r>
      <w:proofErr w:type="spellStart"/>
      <w:r w:rsidRPr="00973E62">
        <w:t>Cp</w:t>
      </w:r>
      <w:proofErr w:type="spellEnd"/>
      <w:r w:rsidRPr="00973E62">
        <w:t>, em função da temperatura (</w:t>
      </w:r>
      <w:proofErr w:type="spellStart"/>
      <w:r w:rsidRPr="00973E62">
        <w:t>Cp</w:t>
      </w:r>
      <w:proofErr w:type="spellEnd"/>
      <w:r w:rsidRPr="00973E62">
        <w:t xml:space="preserve"> = </w:t>
      </w:r>
      <w:proofErr w:type="spellStart"/>
      <w:r w:rsidRPr="00973E62">
        <w:t>Cp</w:t>
      </w:r>
      <w:proofErr w:type="spellEnd"/>
      <w:r w:rsidRPr="00973E62">
        <w:t xml:space="preserve">(T)). Para tanto, para cada um dos </w:t>
      </w:r>
      <w:proofErr w:type="spellStart"/>
      <w:r w:rsidRPr="00973E62">
        <w:rPr>
          <w:i/>
        </w:rPr>
        <w:t>lumps</w:t>
      </w:r>
      <w:proofErr w:type="spellEnd"/>
      <w:r w:rsidRPr="00973E62">
        <w:t xml:space="preserve"> do modelo cinético (exceto o coque) foi associado um hidrocarboneto de mesma massa molecular de acordo com a Tabela Pj5.2. Para o coque, como sua composição é na maior parte carbono puro, o seu calor específico foi aproximado com o calor específico</w:t>
      </w:r>
      <w:r>
        <w:t xml:space="preserve"> do carbono grafite, mesmo sendo a massa molecular de ambos muito diferente, o que neste caso não é importante uma vez que o carbono grafite foi escolhido para representar o coque em virtude de sua </w:t>
      </w:r>
      <w:r w:rsidRPr="00ED7E14">
        <w:t xml:space="preserve">composição química e não com base na massa molecular como foi feito para os demais </w:t>
      </w:r>
      <w:proofErr w:type="spellStart"/>
      <w:r w:rsidRPr="00ED7E14">
        <w:rPr>
          <w:i/>
        </w:rPr>
        <w:t>lumps</w:t>
      </w:r>
      <w:proofErr w:type="spellEnd"/>
      <w:r w:rsidRPr="00ED7E14"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4530"/>
        <w:gridCol w:w="3164"/>
      </w:tblGrid>
      <w:tr w:rsidR="00AF3BD5" w:rsidRPr="003139D5" w:rsidTr="003B08E7">
        <w:trPr>
          <w:cantSplit/>
        </w:trPr>
        <w:tc>
          <w:tcPr>
            <w:tcW w:w="5000" w:type="pct"/>
            <w:gridSpan w:val="3"/>
            <w:tcBorders>
              <w:bottom w:val="single" w:sz="18" w:space="0" w:color="auto"/>
            </w:tcBorders>
          </w:tcPr>
          <w:p w:rsidR="00AF3BD5" w:rsidRPr="003139D5" w:rsidRDefault="00AF3BD5" w:rsidP="003B08E7">
            <w:pPr>
              <w:pStyle w:val="Tabela"/>
              <w:rPr>
                <w:sz w:val="24"/>
              </w:rPr>
            </w:pPr>
            <w:bookmarkStart w:id="0" w:name="_Ref71093039"/>
            <w:bookmarkStart w:id="1" w:name="_Ref71096190"/>
            <w:bookmarkStart w:id="2" w:name="_Toc76618042"/>
            <w:r w:rsidRPr="001812EE">
              <w:rPr>
                <w:b w:val="0"/>
                <w:sz w:val="24"/>
              </w:rPr>
              <w:t xml:space="preserve">Tabela </w:t>
            </w:r>
            <w:bookmarkEnd w:id="0"/>
            <w:r w:rsidRPr="001812EE">
              <w:rPr>
                <w:b w:val="0"/>
                <w:sz w:val="24"/>
              </w:rPr>
              <w:t>Pj5.2 – Associação</w:t>
            </w:r>
            <w:r w:rsidRPr="003139D5">
              <w:rPr>
                <w:b w:val="0"/>
                <w:sz w:val="24"/>
              </w:rPr>
              <w:t xml:space="preserve"> dos </w:t>
            </w:r>
            <w:proofErr w:type="spellStart"/>
            <w:r w:rsidRPr="003139D5">
              <w:rPr>
                <w:b w:val="0"/>
                <w:i/>
                <w:sz w:val="24"/>
              </w:rPr>
              <w:t>lumps</w:t>
            </w:r>
            <w:proofErr w:type="spellEnd"/>
            <w:r w:rsidRPr="003139D5">
              <w:rPr>
                <w:b w:val="0"/>
                <w:sz w:val="24"/>
              </w:rPr>
              <w:t xml:space="preserve"> com seus respectivos hidrocarbonetos de mesma massa molecular</w:t>
            </w:r>
            <w:bookmarkEnd w:id="1"/>
            <w:bookmarkEnd w:id="2"/>
            <w:r>
              <w:rPr>
                <w:b w:val="0"/>
                <w:sz w:val="24"/>
              </w:rPr>
              <w:t>.</w:t>
            </w:r>
          </w:p>
        </w:tc>
      </w:tr>
      <w:tr w:rsidR="00AF3BD5" w:rsidTr="003B08E7">
        <w:tc>
          <w:tcPr>
            <w:tcW w:w="890" w:type="pct"/>
          </w:tcPr>
          <w:p w:rsidR="00AF3BD5" w:rsidRDefault="00AF3BD5" w:rsidP="003B08E7">
            <w:pPr>
              <w:pStyle w:val="tabela-interno331"/>
            </w:pPr>
            <w:proofErr w:type="spellStart"/>
            <w:proofErr w:type="gramStart"/>
            <w:r>
              <w:rPr>
                <w:b/>
              </w:rPr>
              <w:t>lump</w:t>
            </w:r>
            <w:proofErr w:type="spellEnd"/>
            <w:proofErr w:type="gramEnd"/>
          </w:p>
        </w:tc>
        <w:tc>
          <w:tcPr>
            <w:tcW w:w="2420" w:type="pct"/>
          </w:tcPr>
          <w:p w:rsidR="00AF3BD5" w:rsidRDefault="00AF3BD5" w:rsidP="003B08E7">
            <w:pPr>
              <w:pStyle w:val="tabela-interno331"/>
            </w:pPr>
            <w:r>
              <w:rPr>
                <w:b/>
              </w:rPr>
              <w:t>Hidrocarboneto</w:t>
            </w:r>
          </w:p>
        </w:tc>
        <w:tc>
          <w:tcPr>
            <w:tcW w:w="1690" w:type="pct"/>
          </w:tcPr>
          <w:p w:rsidR="00AF3BD5" w:rsidRDefault="00AF3BD5" w:rsidP="003B08E7">
            <w:pPr>
              <w:pStyle w:val="tabela-interno331"/>
              <w:rPr>
                <w:b/>
              </w:rPr>
            </w:pPr>
            <w:r>
              <w:rPr>
                <w:b/>
              </w:rPr>
              <w:t>Massa</w:t>
            </w:r>
            <w:r>
              <w:t xml:space="preserve"> </w:t>
            </w:r>
            <w:r>
              <w:rPr>
                <w:b/>
              </w:rPr>
              <w:t>molecular</w:t>
            </w:r>
            <w:r>
              <w:t xml:space="preserve"> </w:t>
            </w:r>
            <w:r>
              <w:rPr>
                <w:b/>
              </w:rPr>
              <w:t>(kg/</w:t>
            </w:r>
            <w:proofErr w:type="spellStart"/>
            <w:r>
              <w:rPr>
                <w:b/>
              </w:rPr>
              <w:t>kmol</w:t>
            </w:r>
            <w:proofErr w:type="spellEnd"/>
            <w:r>
              <w:rPr>
                <w:b/>
              </w:rPr>
              <w:t>)</w:t>
            </w:r>
          </w:p>
          <w:p w:rsidR="00AF3BD5" w:rsidRDefault="00AF3BD5" w:rsidP="003B08E7">
            <w:pPr>
              <w:pStyle w:val="tabela-interno331"/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  <w:i/>
              </w:rPr>
              <w:t>lump</w:t>
            </w:r>
            <w:proofErr w:type="spellEnd"/>
            <w:proofErr w:type="gramEnd"/>
            <w:r>
              <w:rPr>
                <w:b/>
              </w:rPr>
              <w:t>/hidrocarboneto)</w:t>
            </w:r>
          </w:p>
        </w:tc>
      </w:tr>
      <w:tr w:rsidR="00AF3BD5" w:rsidTr="003B08E7">
        <w:tc>
          <w:tcPr>
            <w:tcW w:w="890" w:type="pct"/>
          </w:tcPr>
          <w:p w:rsidR="00AF3BD5" w:rsidRDefault="00AF3BD5" w:rsidP="003B08E7">
            <w:pPr>
              <w:pStyle w:val="tabela-interno331"/>
            </w:pPr>
            <w:proofErr w:type="spellStart"/>
            <w:proofErr w:type="gramStart"/>
            <w:r>
              <w:t>vgo</w:t>
            </w:r>
            <w:proofErr w:type="spellEnd"/>
            <w:proofErr w:type="gramEnd"/>
          </w:p>
        </w:tc>
        <w:tc>
          <w:tcPr>
            <w:tcW w:w="2420" w:type="pct"/>
          </w:tcPr>
          <w:p w:rsidR="00AF3BD5" w:rsidRDefault="00AF3BD5" w:rsidP="003B08E7">
            <w:pPr>
              <w:pStyle w:val="tabela-interno331"/>
            </w:pPr>
            <w:proofErr w:type="gramStart"/>
            <w:r>
              <w:t>n</w:t>
            </w:r>
            <w:proofErr w:type="gramEnd"/>
            <w:r>
              <w:t>-</w:t>
            </w:r>
            <w:proofErr w:type="spellStart"/>
            <w:r>
              <w:t>octadecano</w:t>
            </w:r>
            <w:proofErr w:type="spellEnd"/>
            <w:r>
              <w:t xml:space="preserve"> 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)</w:t>
            </w:r>
          </w:p>
        </w:tc>
        <w:tc>
          <w:tcPr>
            <w:tcW w:w="1690" w:type="pct"/>
          </w:tcPr>
          <w:p w:rsidR="00AF3BD5" w:rsidRDefault="00AF3BD5" w:rsidP="003B08E7">
            <w:pPr>
              <w:pStyle w:val="tabela-interno331"/>
            </w:pPr>
            <w:r>
              <w:t>(422.80/254.500)</w:t>
            </w:r>
          </w:p>
        </w:tc>
      </w:tr>
      <w:tr w:rsidR="00AF3BD5" w:rsidTr="003B08E7">
        <w:tc>
          <w:tcPr>
            <w:tcW w:w="890" w:type="pct"/>
          </w:tcPr>
          <w:p w:rsidR="00AF3BD5" w:rsidRDefault="00AF3BD5" w:rsidP="003B08E7">
            <w:pPr>
              <w:pStyle w:val="tabela-interno331"/>
            </w:pPr>
            <w:r>
              <w:t>LCO</w:t>
            </w:r>
          </w:p>
        </w:tc>
        <w:tc>
          <w:tcPr>
            <w:tcW w:w="2420" w:type="pct"/>
          </w:tcPr>
          <w:p w:rsidR="00AF3BD5" w:rsidRDefault="00AF3BD5" w:rsidP="003B08E7">
            <w:pPr>
              <w:pStyle w:val="tabela-interno331"/>
            </w:pPr>
            <w:proofErr w:type="gramStart"/>
            <w:r>
              <w:t>n</w:t>
            </w:r>
            <w:proofErr w:type="gramEnd"/>
            <w:r>
              <w:t>-</w:t>
            </w:r>
            <w:proofErr w:type="spellStart"/>
            <w:r>
              <w:t>octadecano</w:t>
            </w:r>
            <w:proofErr w:type="spellEnd"/>
            <w:r>
              <w:t xml:space="preserve"> 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)</w:t>
            </w:r>
          </w:p>
        </w:tc>
        <w:tc>
          <w:tcPr>
            <w:tcW w:w="1690" w:type="pct"/>
          </w:tcPr>
          <w:p w:rsidR="00AF3BD5" w:rsidRDefault="00AF3BD5" w:rsidP="003B08E7">
            <w:pPr>
              <w:pStyle w:val="tabela-interno331"/>
            </w:pPr>
            <w:r>
              <w:t>(254.50/254.500)</w:t>
            </w:r>
          </w:p>
        </w:tc>
      </w:tr>
      <w:tr w:rsidR="00AF3BD5" w:rsidTr="003B08E7">
        <w:tc>
          <w:tcPr>
            <w:tcW w:w="890" w:type="pct"/>
          </w:tcPr>
          <w:p w:rsidR="00AF3BD5" w:rsidRDefault="00AF3BD5" w:rsidP="003B08E7">
            <w:pPr>
              <w:pStyle w:val="tabela-interno331"/>
            </w:pPr>
            <w:r>
              <w:t>Gasolina</w:t>
            </w:r>
          </w:p>
        </w:tc>
        <w:tc>
          <w:tcPr>
            <w:tcW w:w="2420" w:type="pct"/>
          </w:tcPr>
          <w:p w:rsidR="00AF3BD5" w:rsidRDefault="00AF3BD5" w:rsidP="003B08E7">
            <w:pPr>
              <w:pStyle w:val="tabela-interno331"/>
            </w:pPr>
            <w:proofErr w:type="gramStart"/>
            <w:r>
              <w:t>n</w:t>
            </w:r>
            <w:proofErr w:type="gramEnd"/>
            <w:r>
              <w:t>-octano (C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)</w:t>
            </w:r>
          </w:p>
        </w:tc>
        <w:tc>
          <w:tcPr>
            <w:tcW w:w="1690" w:type="pct"/>
          </w:tcPr>
          <w:p w:rsidR="00AF3BD5" w:rsidRDefault="00AF3BD5" w:rsidP="003B08E7">
            <w:pPr>
              <w:pStyle w:val="tabela-interno331"/>
            </w:pPr>
            <w:r>
              <w:t>(114.20/114.231)</w:t>
            </w:r>
          </w:p>
        </w:tc>
      </w:tr>
      <w:tr w:rsidR="00AF3BD5" w:rsidTr="003B08E7">
        <w:tc>
          <w:tcPr>
            <w:tcW w:w="890" w:type="pct"/>
          </w:tcPr>
          <w:p w:rsidR="00AF3BD5" w:rsidRDefault="00AF3BD5" w:rsidP="003B08E7">
            <w:pPr>
              <w:pStyle w:val="tabela-interno331"/>
            </w:pPr>
            <w:r>
              <w:t>GLP</w:t>
            </w:r>
          </w:p>
        </w:tc>
        <w:tc>
          <w:tcPr>
            <w:tcW w:w="2420" w:type="pct"/>
          </w:tcPr>
          <w:p w:rsidR="00AF3BD5" w:rsidRPr="00AD5CBE" w:rsidRDefault="00AF3BD5" w:rsidP="003B08E7">
            <w:pPr>
              <w:pStyle w:val="tabela-interno331"/>
            </w:pPr>
            <w:proofErr w:type="gramStart"/>
            <w:r>
              <w:t>propano</w:t>
            </w:r>
            <w:proofErr w:type="gramEnd"/>
            <w:r>
              <w:t xml:space="preserve">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)</w:t>
            </w:r>
          </w:p>
        </w:tc>
        <w:tc>
          <w:tcPr>
            <w:tcW w:w="1690" w:type="pct"/>
          </w:tcPr>
          <w:p w:rsidR="00AF3BD5" w:rsidRDefault="00AF3BD5" w:rsidP="003B08E7">
            <w:pPr>
              <w:pStyle w:val="tabela-interno331"/>
            </w:pPr>
            <w:r>
              <w:t>(44.10/44.097)</w:t>
            </w:r>
          </w:p>
        </w:tc>
      </w:tr>
      <w:tr w:rsidR="00AF3BD5" w:rsidTr="003B08E7">
        <w:tc>
          <w:tcPr>
            <w:tcW w:w="890" w:type="pct"/>
          </w:tcPr>
          <w:p w:rsidR="00AF3BD5" w:rsidRDefault="00AF3BD5" w:rsidP="003B08E7">
            <w:pPr>
              <w:pStyle w:val="tabela-interno331"/>
            </w:pPr>
            <w:r>
              <w:t>Gás Combustível</w:t>
            </w:r>
          </w:p>
        </w:tc>
        <w:tc>
          <w:tcPr>
            <w:tcW w:w="2420" w:type="pct"/>
          </w:tcPr>
          <w:p w:rsidR="00AF3BD5" w:rsidRPr="00AD5CBE" w:rsidRDefault="00AF3BD5" w:rsidP="003B08E7">
            <w:pPr>
              <w:pStyle w:val="tabela-interno331"/>
            </w:pPr>
            <w:proofErr w:type="gramStart"/>
            <w:r>
              <w:t>metano</w:t>
            </w:r>
            <w:proofErr w:type="gramEnd"/>
            <w:r>
              <w:t xml:space="preserve"> (CH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690" w:type="pct"/>
          </w:tcPr>
          <w:p w:rsidR="00AF3BD5" w:rsidRDefault="00AF3BD5" w:rsidP="003B08E7">
            <w:pPr>
              <w:pStyle w:val="tabela-interno331"/>
            </w:pPr>
            <w:r>
              <w:t>(16.04/16.043)</w:t>
            </w:r>
          </w:p>
        </w:tc>
      </w:tr>
      <w:tr w:rsidR="00AF3BD5" w:rsidTr="003B08E7">
        <w:tc>
          <w:tcPr>
            <w:tcW w:w="890" w:type="pct"/>
            <w:tcBorders>
              <w:bottom w:val="single" w:sz="18" w:space="0" w:color="auto"/>
            </w:tcBorders>
          </w:tcPr>
          <w:p w:rsidR="00AF3BD5" w:rsidRDefault="00AF3BD5" w:rsidP="003B08E7">
            <w:pPr>
              <w:pStyle w:val="tabela-interno331"/>
            </w:pPr>
            <w:r>
              <w:t>Coque</w:t>
            </w:r>
          </w:p>
        </w:tc>
        <w:tc>
          <w:tcPr>
            <w:tcW w:w="2420" w:type="pct"/>
            <w:tcBorders>
              <w:bottom w:val="single" w:sz="18" w:space="0" w:color="auto"/>
            </w:tcBorders>
          </w:tcPr>
          <w:p w:rsidR="00AF3BD5" w:rsidRDefault="00AF3BD5" w:rsidP="003B08E7">
            <w:pPr>
              <w:pStyle w:val="tabela-interno331"/>
            </w:pPr>
            <w:proofErr w:type="gramStart"/>
            <w:r>
              <w:t>carbono</w:t>
            </w:r>
            <w:proofErr w:type="gramEnd"/>
            <w:r>
              <w:t xml:space="preserve"> grafite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F3BD5" w:rsidRDefault="00AF3BD5" w:rsidP="003B08E7">
            <w:pPr>
              <w:pStyle w:val="tabela-interno331"/>
            </w:pPr>
            <w:r>
              <w:t>(12/-)</w:t>
            </w:r>
          </w:p>
        </w:tc>
      </w:tr>
      <w:tr w:rsidR="00AF3BD5" w:rsidTr="003B08E7">
        <w:tc>
          <w:tcPr>
            <w:tcW w:w="890" w:type="pct"/>
            <w:tcBorders>
              <w:top w:val="single" w:sz="18" w:space="0" w:color="auto"/>
            </w:tcBorders>
          </w:tcPr>
          <w:p w:rsidR="00AF3BD5" w:rsidRDefault="00AF3BD5" w:rsidP="003B08E7">
            <w:pPr>
              <w:pStyle w:val="tabela-interno331"/>
            </w:pPr>
          </w:p>
        </w:tc>
        <w:tc>
          <w:tcPr>
            <w:tcW w:w="2420" w:type="pct"/>
            <w:tcBorders>
              <w:top w:val="single" w:sz="18" w:space="0" w:color="auto"/>
            </w:tcBorders>
          </w:tcPr>
          <w:p w:rsidR="00AF3BD5" w:rsidRDefault="00AF3BD5" w:rsidP="003B08E7">
            <w:pPr>
              <w:pStyle w:val="tabela-interno331"/>
            </w:pP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F3BD5" w:rsidRDefault="00AF3BD5" w:rsidP="003B08E7">
            <w:pPr>
              <w:pStyle w:val="tabela-interno331"/>
            </w:pPr>
          </w:p>
        </w:tc>
      </w:tr>
    </w:tbl>
    <w:p w:rsidR="00AF3BD5" w:rsidRDefault="00AF3BD5" w:rsidP="00AF3BD5">
      <w:pPr>
        <w:jc w:val="both"/>
      </w:pPr>
    </w:p>
    <w:p w:rsidR="00AF3BD5" w:rsidRDefault="00AF3BD5" w:rsidP="00AF3BD5">
      <w:pPr>
        <w:jc w:val="both"/>
      </w:pPr>
      <w:r>
        <w:t>O calor específico a pressão constante (</w:t>
      </w:r>
      <w:proofErr w:type="spellStart"/>
      <w:r>
        <w:t>Cp</w:t>
      </w:r>
      <w:proofErr w:type="spellEnd"/>
      <w:r>
        <w:t xml:space="preserve">) dos </w:t>
      </w:r>
      <w:proofErr w:type="spellStart"/>
      <w:r>
        <w:rPr>
          <w:i/>
        </w:rPr>
        <w:t>lumps</w:t>
      </w:r>
      <w:proofErr w:type="spellEnd"/>
      <w:r>
        <w:t xml:space="preserve"> </w:t>
      </w:r>
      <w:proofErr w:type="spellStart"/>
      <w:r>
        <w:t>vgo</w:t>
      </w:r>
      <w:proofErr w:type="spellEnd"/>
      <w:r>
        <w:t>, LCO, Gasolina, GLP e Gás Combustível foram determinados através de uma correlação algébrica conforme se segue. Esta correlação é válida para temperaturas entre e 200 a 1500 K.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55"/>
        <w:gridCol w:w="805"/>
      </w:tblGrid>
      <w:tr w:rsidR="00AF3BD5" w:rsidTr="003B08E7">
        <w:tc>
          <w:tcPr>
            <w:tcW w:w="4570" w:type="pct"/>
          </w:tcPr>
          <w:p w:rsidR="00AF3BD5" w:rsidRDefault="00AF3BD5" w:rsidP="003B08E7">
            <w:pPr>
              <w:pStyle w:val="Equacoes"/>
            </w:pPr>
            <w:r>
              <w:rPr>
                <w:position w:val="-64"/>
              </w:rPr>
              <w:object w:dxaOrig="4500" w:dyaOrig="1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72.75pt" o:ole="">
                  <v:imagedata r:id="rId5" o:title=""/>
                </v:shape>
                <o:OLEObject Type="Embed" ProgID="Equation.3" ShapeID="_x0000_i1025" DrawAspect="Content" ObjectID="_1621155958" r:id="rId6"/>
              </w:object>
            </w:r>
          </w:p>
        </w:tc>
        <w:tc>
          <w:tcPr>
            <w:tcW w:w="430" w:type="pct"/>
            <w:vAlign w:val="center"/>
          </w:tcPr>
          <w:p w:rsidR="00AF3BD5" w:rsidRDefault="00AF3BD5" w:rsidP="003B08E7">
            <w:pPr>
              <w:pStyle w:val="Equacoesnumero"/>
              <w:jc w:val="left"/>
            </w:pPr>
            <w:bookmarkStart w:id="3" w:name="_Ref67241010"/>
            <w:r>
              <w:t>(1)</w:t>
            </w:r>
            <w:bookmarkEnd w:id="3"/>
          </w:p>
        </w:tc>
      </w:tr>
    </w:tbl>
    <w:p w:rsidR="00AF3BD5" w:rsidRDefault="00AF3BD5" w:rsidP="00AF3BD5">
      <w:pPr>
        <w:pStyle w:val="Normal2"/>
      </w:pPr>
      <w:proofErr w:type="gramStart"/>
      <w:r>
        <w:t>onde</w:t>
      </w:r>
      <w:proofErr w:type="gramEnd"/>
      <w:r>
        <w:t xml:space="preserve">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4</w:t>
      </w:r>
      <w:r>
        <w:t xml:space="preserve"> e C</w:t>
      </w:r>
      <w:r>
        <w:rPr>
          <w:vertAlign w:val="subscript"/>
        </w:rPr>
        <w:t>5</w:t>
      </w:r>
      <w:r>
        <w:t xml:space="preserve"> são constantes tabeladas retiradas da tabela 2-198 publicada por Perry e Green (1999).</w:t>
      </w:r>
    </w:p>
    <w:p w:rsidR="00AF3BD5" w:rsidRDefault="00AF3BD5" w:rsidP="00AF3BD5">
      <w:pPr>
        <w:jc w:val="both"/>
      </w:pPr>
      <w:r>
        <w:t xml:space="preserve">A equação (1) resultaria em uma expressão algébrica final bastante complicada, necessitando de esforço computacional extra para a determinação dos calores específicos de cada um dos </w:t>
      </w:r>
      <w:proofErr w:type="spellStart"/>
      <w:r>
        <w:rPr>
          <w:i/>
        </w:rPr>
        <w:t>lumps</w:t>
      </w:r>
      <w:proofErr w:type="spellEnd"/>
      <w:r>
        <w:t xml:space="preserve">. Como o comportamento das curvas geradas pela Eq. (1) é bastante suave dentro da faixa de temperaturas de interesse para o </w:t>
      </w:r>
      <w:proofErr w:type="spellStart"/>
      <w:r>
        <w:t>craqueamento</w:t>
      </w:r>
      <w:proofErr w:type="spellEnd"/>
      <w:r>
        <w:t xml:space="preserve"> catalítico, elas podem ser bem aproximadas por um polinômio de segundo grau. A Figura Pj5.2 mostra o gráfico obtido com a aplicação da Eq. </w:t>
      </w:r>
      <w:r>
        <w:fldChar w:fldCharType="begin"/>
      </w:r>
      <w:r>
        <w:instrText xml:space="preserve"> REF _Ref67241010 \h </w:instrText>
      </w:r>
      <w:r>
        <w:fldChar w:fldCharType="separate"/>
      </w:r>
      <w:r>
        <w:t>(</w:t>
      </w:r>
      <w:r>
        <w:rPr>
          <w:noProof/>
        </w:rPr>
        <w:t>7</w:t>
      </w:r>
      <w:r>
        <w:t>.</w:t>
      </w:r>
      <w:r>
        <w:rPr>
          <w:noProof/>
        </w:rPr>
        <w:t>5</w:t>
      </w:r>
      <w:r>
        <w:t>)</w:t>
      </w:r>
      <w:r>
        <w:fldChar w:fldCharType="end"/>
      </w:r>
      <w:r>
        <w:t xml:space="preserve"> para cada um dos </w:t>
      </w:r>
      <w:proofErr w:type="spellStart"/>
      <w:r>
        <w:rPr>
          <w:i/>
        </w:rPr>
        <w:t>lumps</w:t>
      </w:r>
      <w:proofErr w:type="spellEnd"/>
      <w:r>
        <w:t xml:space="preserve"> do modelo, exceto o </w:t>
      </w:r>
      <w:proofErr w:type="spellStart"/>
      <w:r>
        <w:t>vgo</w:t>
      </w:r>
      <w:proofErr w:type="spellEnd"/>
      <w:r>
        <w:t xml:space="preserve"> que devido ao seu alto peso molecular não pode ser aproximado por nenhum hidrocarboneto de peso molecular semelhante disponível.</w:t>
      </w:r>
    </w:p>
    <w:p w:rsidR="00AF3BD5" w:rsidRDefault="00AF3BD5" w:rsidP="00AF3BD5">
      <w:pPr>
        <w:jc w:val="both"/>
      </w:pPr>
      <w:r>
        <w:t>O coque, no estado sólido, foi aproximado pela curva de calores específicos do carbono grafite a qual é dada pela tabela 2-194 publicada por Perry e Green (1999), conforme se segue: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55"/>
        <w:gridCol w:w="805"/>
      </w:tblGrid>
      <w:tr w:rsidR="00AF3BD5" w:rsidTr="003B08E7">
        <w:tc>
          <w:tcPr>
            <w:tcW w:w="4570" w:type="pct"/>
          </w:tcPr>
          <w:p w:rsidR="00AF3BD5" w:rsidRDefault="00AF3BD5" w:rsidP="003B08E7">
            <w:pPr>
              <w:pStyle w:val="Equacoes"/>
            </w:pPr>
            <w:r w:rsidRPr="000475AE">
              <w:rPr>
                <w:position w:val="-24"/>
              </w:rPr>
              <w:object w:dxaOrig="3940" w:dyaOrig="620">
                <v:shape id="_x0000_i1026" type="#_x0000_t75" style="width:197.25pt;height:30.75pt" o:ole="">
                  <v:imagedata r:id="rId7" o:title=""/>
                </v:shape>
                <o:OLEObject Type="Embed" ProgID="Equation.3" ShapeID="_x0000_i1026" DrawAspect="Content" ObjectID="_1621155959" r:id="rId8"/>
              </w:object>
            </w:r>
          </w:p>
        </w:tc>
        <w:tc>
          <w:tcPr>
            <w:tcW w:w="430" w:type="pct"/>
            <w:vAlign w:val="center"/>
          </w:tcPr>
          <w:p w:rsidR="00AF3BD5" w:rsidRDefault="00AF3BD5" w:rsidP="003B08E7">
            <w:pPr>
              <w:pStyle w:val="Equacoesnumero"/>
              <w:jc w:val="left"/>
            </w:pPr>
            <w:r>
              <w:t>(2)</w:t>
            </w:r>
          </w:p>
        </w:tc>
      </w:tr>
    </w:tbl>
    <w:p w:rsidR="00AF3BD5" w:rsidRDefault="00AF3BD5" w:rsidP="00AF3BD5">
      <w:pPr>
        <w:pStyle w:val="Normal2"/>
      </w:pPr>
      <w:proofErr w:type="gramStart"/>
      <w:r>
        <w:t>e</w:t>
      </w:r>
      <w:proofErr w:type="gramEnd"/>
      <w:r>
        <w:t xml:space="preserve"> que também pode ser aproximada por um polinômio de segundo grau.</w:t>
      </w:r>
    </w:p>
    <w:p w:rsidR="00AF3BD5" w:rsidRDefault="00AF3BD5" w:rsidP="00AF3BD5">
      <w:pPr>
        <w:jc w:val="both"/>
      </w:pPr>
      <w:r>
        <w:t xml:space="preserve">Observando com cuidado a Fig. Pj5.2 nota-se que quanto maior é o peso molecular do hidrocarboneto, as curvas de </w:t>
      </w:r>
      <w:proofErr w:type="spellStart"/>
      <w:r>
        <w:t>Cp</w:t>
      </w:r>
      <w:proofErr w:type="spellEnd"/>
      <w:r>
        <w:t xml:space="preserve"> passam aproximadamente a se superpor. Com base nesta hipótese e em virtude da falta de uma aproximação melhor para o </w:t>
      </w:r>
      <w:proofErr w:type="spellStart"/>
      <w:r>
        <w:rPr>
          <w:i/>
        </w:rPr>
        <w:t>lump</w:t>
      </w:r>
      <w:proofErr w:type="spellEnd"/>
      <w:r>
        <w:t xml:space="preserve"> </w:t>
      </w:r>
      <w:proofErr w:type="spellStart"/>
      <w:r>
        <w:t>vgo</w:t>
      </w:r>
      <w:proofErr w:type="spellEnd"/>
      <w:r>
        <w:t xml:space="preserve">, pode-se utilizar para o </w:t>
      </w:r>
      <w:proofErr w:type="spellStart"/>
      <w:r>
        <w:t>vgo</w:t>
      </w:r>
      <w:proofErr w:type="spellEnd"/>
      <w:r>
        <w:t xml:space="preserve"> a mesma curva com a qual se aproxima o </w:t>
      </w:r>
      <w:proofErr w:type="spellStart"/>
      <w:r>
        <w:rPr>
          <w:i/>
        </w:rPr>
        <w:t>lump</w:t>
      </w:r>
      <w:proofErr w:type="spellEnd"/>
      <w:r>
        <w:t xml:space="preserve"> LCO.</w:t>
      </w:r>
    </w:p>
    <w:p w:rsidR="00AF3BD5" w:rsidRDefault="00AF3BD5" w:rsidP="00AF3BD5">
      <w:pPr>
        <w:jc w:val="both"/>
      </w:pPr>
      <w:r>
        <w:t>Cada uma das curvas mostradas na Fig. Pj5.2 pode, portanto, ser aproximada por um polinômio de segundo grau na forma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55"/>
        <w:gridCol w:w="805"/>
      </w:tblGrid>
      <w:tr w:rsidR="00AF3BD5" w:rsidTr="003B08E7">
        <w:tc>
          <w:tcPr>
            <w:tcW w:w="4570" w:type="pct"/>
          </w:tcPr>
          <w:p w:rsidR="00AF3BD5" w:rsidRDefault="00AF3BD5" w:rsidP="003B08E7">
            <w:pPr>
              <w:pStyle w:val="Equacoes"/>
            </w:pPr>
            <w:r w:rsidRPr="00EA4C29">
              <w:rPr>
                <w:position w:val="-12"/>
              </w:rPr>
              <w:object w:dxaOrig="2020" w:dyaOrig="380">
                <v:shape id="_x0000_i1027" type="#_x0000_t75" style="width:101.25pt;height:18.75pt" o:ole="">
                  <v:imagedata r:id="rId9" o:title=""/>
                </v:shape>
                <o:OLEObject Type="Embed" ProgID="Equation.3" ShapeID="_x0000_i1027" DrawAspect="Content" ObjectID="_1621155960" r:id="rId10"/>
              </w:object>
            </w:r>
          </w:p>
        </w:tc>
        <w:tc>
          <w:tcPr>
            <w:tcW w:w="430" w:type="pct"/>
            <w:vAlign w:val="center"/>
          </w:tcPr>
          <w:p w:rsidR="00AF3BD5" w:rsidRDefault="00AF3BD5" w:rsidP="003B08E7">
            <w:pPr>
              <w:pStyle w:val="Equacoesnumero"/>
              <w:jc w:val="left"/>
            </w:pPr>
            <w:bookmarkStart w:id="4" w:name="_Ref70827722"/>
            <w:r>
              <w:t>(3)</w:t>
            </w:r>
            <w:bookmarkEnd w:id="4"/>
          </w:p>
        </w:tc>
      </w:tr>
    </w:tbl>
    <w:p w:rsidR="00AF3BD5" w:rsidRDefault="00AF3BD5" w:rsidP="00AF3BD5">
      <w:pPr>
        <w:jc w:val="both"/>
      </w:pPr>
      <w:r>
        <w:t>Pede-se neste projeto, que se construa uma Tabela com as equações dos polinômios correspondentes a cada uma das curvas mostradas na Fig. Pj5.2. Além disso, pede-se fazer uma análise do erro cometido na avaliação dos calores específicos com essas aproximações por polinômios quadráticos na faixa de temperaturas considerada.</w:t>
      </w:r>
    </w:p>
    <w:p w:rsidR="00AF3BD5" w:rsidRDefault="00AF3BD5" w:rsidP="00AF3BD5">
      <w:pPr>
        <w:pStyle w:val="Normal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AF3BD5" w:rsidTr="003B08E7">
        <w:tc>
          <w:tcPr>
            <w:tcW w:w="5000" w:type="pct"/>
          </w:tcPr>
          <w:p w:rsidR="00AF3BD5" w:rsidRPr="000475AE" w:rsidRDefault="00AF3BD5" w:rsidP="003B08E7">
            <w:pPr>
              <w:pStyle w:val="Figuras"/>
            </w:pPr>
            <w:r w:rsidRPr="000475AE">
              <w:rPr>
                <w:noProof/>
                <w:lang w:val="en-US" w:eastAsia="en-US"/>
              </w:rPr>
              <w:drawing>
                <wp:inline distT="0" distB="0" distL="0" distR="0" wp14:anchorId="43DB6CDF" wp14:editId="53EC9229">
                  <wp:extent cx="4699000" cy="288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8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BD5" w:rsidTr="003B08E7">
        <w:tc>
          <w:tcPr>
            <w:tcW w:w="5000" w:type="pct"/>
          </w:tcPr>
          <w:p w:rsidR="00AF3BD5" w:rsidRDefault="00AF3BD5" w:rsidP="003B08E7">
            <w:pPr>
              <w:pStyle w:val="Figuras"/>
            </w:pPr>
            <w:bookmarkStart w:id="5" w:name="_Ref70826487"/>
            <w:bookmarkStart w:id="6" w:name="_Toc76618011"/>
            <w:r>
              <w:t>Fig.</w:t>
            </w:r>
            <w:bookmarkEnd w:id="5"/>
            <w:r>
              <w:t xml:space="preserve"> Pj5.2 – Calores específicos para cada um dos </w:t>
            </w:r>
            <w:proofErr w:type="spellStart"/>
            <w:r>
              <w:rPr>
                <w:i/>
              </w:rPr>
              <w:t>lumps</w:t>
            </w:r>
            <w:proofErr w:type="spellEnd"/>
            <w:r>
              <w:t xml:space="preserve"> calculados pela Eq.</w:t>
            </w:r>
            <w:bookmarkEnd w:id="6"/>
            <w:r>
              <w:t xml:space="preserve"> (1).</w:t>
            </w:r>
          </w:p>
        </w:tc>
      </w:tr>
    </w:tbl>
    <w:p w:rsidR="00AF3BD5" w:rsidRDefault="00AF3BD5" w:rsidP="00AF3BD5">
      <w:pPr>
        <w:jc w:val="both"/>
      </w:pPr>
    </w:p>
    <w:p w:rsidR="00AF3BD5" w:rsidRPr="00C71801" w:rsidRDefault="00AF3BD5" w:rsidP="00AF3BD5">
      <w:pPr>
        <w:jc w:val="both"/>
      </w:pPr>
      <w:proofErr w:type="spellStart"/>
      <w:r w:rsidRPr="00C71801">
        <w:t>Obs</w:t>
      </w:r>
      <w:proofErr w:type="spellEnd"/>
      <w:r w:rsidRPr="00C71801">
        <w:t xml:space="preserve">: </w:t>
      </w:r>
    </w:p>
    <w:p w:rsidR="00AF3BD5" w:rsidRPr="00C71801" w:rsidRDefault="00AF3BD5" w:rsidP="00AF3B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C71801">
        <w:t>Apresente um relatório do seu trabalho (título, resumo, introdução, teoria, resultados e discussão, e conclusões), com todos os programas computacionais escritos no apêndice, e</w:t>
      </w:r>
    </w:p>
    <w:p w:rsidR="00AF3BD5" w:rsidRPr="00C71801" w:rsidRDefault="00AF3BD5" w:rsidP="00AF3BD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C71801">
        <w:t>Recomenda-se utilizar aritmética de dupla precisão em seus cálculos.</w:t>
      </w:r>
    </w:p>
    <w:p w:rsidR="00E81504" w:rsidRDefault="00E81504">
      <w:bookmarkStart w:id="7" w:name="_GoBack"/>
      <w:bookmarkEnd w:id="7"/>
    </w:p>
    <w:sectPr w:rsidR="00E8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B6F48"/>
    <w:multiLevelType w:val="hybridMultilevel"/>
    <w:tmpl w:val="03E011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5"/>
    <w:rsid w:val="00AF3BD5"/>
    <w:rsid w:val="00E81504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8372-5CE7-4F5F-A668-74208C97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BD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AF3BD5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Figuras">
    <w:name w:val="Figuras"/>
    <w:basedOn w:val="Normal"/>
    <w:autoRedefine/>
    <w:rsid w:val="00AF3BD5"/>
    <w:pPr>
      <w:widowControl w:val="0"/>
      <w:overflowPunct/>
      <w:autoSpaceDE/>
      <w:autoSpaceDN/>
      <w:adjustRightInd/>
      <w:spacing w:before="240" w:line="360" w:lineRule="auto"/>
      <w:jc w:val="center"/>
      <w:textAlignment w:val="auto"/>
    </w:pPr>
    <w:rPr>
      <w:szCs w:val="24"/>
    </w:rPr>
  </w:style>
  <w:style w:type="paragraph" w:customStyle="1" w:styleId="Equacoes">
    <w:name w:val="Equacoes"/>
    <w:basedOn w:val="Normal"/>
    <w:autoRedefine/>
    <w:rsid w:val="00AF3BD5"/>
    <w:pPr>
      <w:widowControl w:val="0"/>
      <w:overflowPunct/>
      <w:autoSpaceDE/>
      <w:autoSpaceDN/>
      <w:adjustRightInd/>
      <w:spacing w:before="240" w:after="120" w:line="360" w:lineRule="auto"/>
      <w:ind w:firstLine="709"/>
      <w:jc w:val="both"/>
      <w:textAlignment w:val="auto"/>
    </w:pPr>
    <w:rPr>
      <w:szCs w:val="24"/>
    </w:rPr>
  </w:style>
  <w:style w:type="paragraph" w:customStyle="1" w:styleId="Equacoesnumero">
    <w:name w:val="Equacoes_numero"/>
    <w:basedOn w:val="Equacoes"/>
    <w:autoRedefine/>
    <w:rsid w:val="00AF3BD5"/>
    <w:pPr>
      <w:ind w:firstLine="0"/>
      <w:jc w:val="right"/>
    </w:pPr>
  </w:style>
  <w:style w:type="paragraph" w:customStyle="1" w:styleId="Tabela">
    <w:name w:val="Tabela"/>
    <w:basedOn w:val="Normal"/>
    <w:autoRedefine/>
    <w:rsid w:val="00AF3BD5"/>
    <w:pPr>
      <w:overflowPunct/>
      <w:autoSpaceDE/>
      <w:autoSpaceDN/>
      <w:adjustRightInd/>
      <w:spacing w:before="240" w:after="240"/>
      <w:jc w:val="center"/>
      <w:textAlignment w:val="auto"/>
    </w:pPr>
    <w:rPr>
      <w:b/>
      <w:sz w:val="20"/>
      <w:szCs w:val="24"/>
    </w:rPr>
  </w:style>
  <w:style w:type="paragraph" w:customStyle="1" w:styleId="tabela-interno331">
    <w:name w:val="tabela - interno331"/>
    <w:basedOn w:val="Normal"/>
    <w:autoRedefine/>
    <w:rsid w:val="00AF3BD5"/>
    <w:pPr>
      <w:overflowPunct/>
      <w:autoSpaceDE/>
      <w:autoSpaceDN/>
      <w:adjustRightInd/>
      <w:jc w:val="center"/>
      <w:textAlignment w:val="auto"/>
    </w:pPr>
    <w:rPr>
      <w:iCs/>
      <w:sz w:val="20"/>
      <w:szCs w:val="24"/>
    </w:rPr>
  </w:style>
  <w:style w:type="paragraph" w:customStyle="1" w:styleId="Normal2">
    <w:name w:val="Normal 2"/>
    <w:basedOn w:val="Normal"/>
    <w:rsid w:val="00AF3BD5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</cp:revision>
  <dcterms:created xsi:type="dcterms:W3CDTF">2019-06-04T15:11:00Z</dcterms:created>
  <dcterms:modified xsi:type="dcterms:W3CDTF">2019-06-04T15:12:00Z</dcterms:modified>
</cp:coreProperties>
</file>