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(19 Mar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Gamma - UFPR</w:t>
        <w:tab/>
        <w:tab/>
        <w:tab/>
        <w:tab/>
        <w:tab/>
        <w:t xml:space="preserve">Data de preenchimento:  18  / 04   /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2016 na qual a equipe pretende usar os minifoguetes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escolha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1"/>
        <w:bidi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½A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X ) Classe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  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200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800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os dados de um ou dois minifoguetes conforme o número de lançamentos que a equipe pretende fazer na categoria indicada (dois minifoguetes são aceitos no máximo)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Os dois minifoguetes podem ser iguais ou diferentes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chmcfd@gmail.com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15 de abril de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3402"/>
        <w:gridCol w:w="3402"/>
        <w:tblGridChange w:id="0">
          <w:tblGrid>
            <w:gridCol w:w="4219"/>
            <w:gridCol w:w="3402"/>
            <w:gridCol w:w="340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Gamma 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Gama 28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A30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GFCS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KnSu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15,7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164,5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183,397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6,15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3,72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hastes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MicroPeak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Altus Metrum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fita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3,25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(g)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20,5556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21,7996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os materiais usados no minifoguete e em seu motor.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Papelão, papel Kraft, balsa, acrílico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se há partes metálicas e em que quantidade.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Sim, tubeira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SOBRE ESTE TIPO DE MINIFOGUETE </w:t>
            </w:r>
            <w:r w:rsidDel="00000000" w:rsidR="00000000" w:rsidRPr="00000000">
              <w:rPr>
                <w:b w:val="1"/>
                <w:color w:val="ff0000"/>
                <w:sz w:val="12"/>
                <w:szCs w:val="12"/>
                <w:rtl w:val="0"/>
              </w:rPr>
              <w:t xml:space="preserve">(responda abaixo)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total de voos realizados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anomalias (explosão e/ou ejeção de tubeira/tampa) ocorridas com o motor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estáveis e sem anomalias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instáveis e/ou com anomalias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funcionou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não funcionou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os voos já feitos com este tipo de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008000"/>
        <w:sz w:val="16"/>
        <w:szCs w:val="16"/>
        <w:u w:val="single"/>
        <w:rtl w:val="0"/>
      </w:rPr>
      <w:t xml:space="preserve">Festival de Minifoguetes de Curitiba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mcfd@gmail.com" TargetMode="External"/><Relationship Id="rId6" Type="http://schemas.openxmlformats.org/officeDocument/2006/relationships/header" Target="header1.xml"/></Relationships>
</file>